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F9457A">
        <w:rPr>
          <w:rFonts w:ascii="Calibri" w:hAnsi="Calibri"/>
          <w:b/>
          <w:sz w:val="32"/>
          <w:lang w:val="en-AU"/>
        </w:rPr>
        <w:t xml:space="preserve">APL </w:t>
      </w:r>
      <w:r>
        <w:rPr>
          <w:rFonts w:ascii="Calibri" w:hAnsi="Calibri"/>
          <w:b/>
          <w:sz w:val="32"/>
          <w:lang w:val="en-AU"/>
        </w:rPr>
        <w:t>Architectural Series Windows &amp; Doors</w:t>
      </w:r>
    </w:p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</w:p>
    <w:p w:rsidR="006865D7" w:rsidRDefault="00CF0AEA" w:rsidP="006865D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6865D7">
        <w:rPr>
          <w:rFonts w:ascii="Calibri" w:hAnsi="Calibri"/>
        </w:rPr>
        <w:t xml:space="preserve"> 2013</w:t>
      </w:r>
    </w:p>
    <w:p w:rsidR="006865D7" w:rsidRDefault="006865D7" w:rsidP="006865D7">
      <w:pPr>
        <w:spacing w:after="0"/>
        <w:rPr>
          <w:rFonts w:ascii="Calibri" w:hAnsi="Calibri"/>
          <w:b/>
        </w:rPr>
      </w:pPr>
    </w:p>
    <w:p w:rsidR="00000EE4" w:rsidRDefault="00827662" w:rsidP="00000EE4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000EE4">
        <w:rPr>
          <w:rFonts w:ascii="Calibri" w:hAnsi="Calibri"/>
          <w:b/>
          <w:i/>
          <w:sz w:val="24"/>
        </w:rPr>
        <w:t xml:space="preserve"> </w:t>
      </w:r>
      <w:r w:rsidR="00F9457A">
        <w:rPr>
          <w:rFonts w:ascii="Calibri" w:hAnsi="Calibri"/>
          <w:b/>
          <w:i/>
          <w:sz w:val="24"/>
        </w:rPr>
        <w:t>–</w:t>
      </w:r>
      <w:r w:rsidR="00000EE4">
        <w:rPr>
          <w:rFonts w:ascii="Calibri" w:hAnsi="Calibri"/>
          <w:b/>
          <w:i/>
          <w:sz w:val="24"/>
        </w:rPr>
        <w:t xml:space="preserve"> </w:t>
      </w:r>
      <w:r w:rsidR="00F9457A">
        <w:rPr>
          <w:rFonts w:ascii="Calibri" w:hAnsi="Calibri"/>
          <w:b/>
          <w:i/>
          <w:sz w:val="24"/>
        </w:rPr>
        <w:t xml:space="preserve">APL </w:t>
      </w:r>
      <w:bookmarkStart w:id="0" w:name="_GoBack"/>
      <w:bookmarkEnd w:id="0"/>
      <w:r w:rsidR="00000EE4">
        <w:rPr>
          <w:rFonts w:ascii="Calibri" w:hAnsi="Calibri"/>
          <w:b/>
          <w:i/>
          <w:sz w:val="24"/>
        </w:rPr>
        <w:t>ARCHITECTURAL SERIES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6865D7" w:rsidP="00000EE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000EE4">
        <w:rPr>
          <w:rFonts w:ascii="Calibri" w:hAnsi="Calibri"/>
          <w:b/>
        </w:rPr>
        <w:t>.1 AWNING and CASEMENT WINDOWS</w:t>
      </w: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APL Architectural Series frames, </w:t>
      </w:r>
      <w:r w:rsidR="00A32293">
        <w:rPr>
          <w:rFonts w:ascii="Calibri" w:hAnsi="Calibri"/>
        </w:rPr>
        <w:t xml:space="preserve">and </w:t>
      </w:r>
      <w:r>
        <w:rPr>
          <w:rFonts w:ascii="Calibri" w:hAnsi="Calibri"/>
        </w:rPr>
        <w:t>an IGU thickness up to 26mm.</w:t>
      </w:r>
    </w:p>
    <w:p w:rsidR="00A32293" w:rsidRDefault="00A32293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Two frame widths are offered – 106mm and 158mm</w:t>
      </w:r>
      <w:r w:rsidR="00A05872">
        <w:rPr>
          <w:rFonts w:ascii="Calibri" w:hAnsi="Calibri"/>
        </w:rPr>
        <w:t>, depending on the frame width of adjoining doors</w:t>
      </w:r>
      <w:r>
        <w:rPr>
          <w:rFonts w:ascii="Calibri" w:hAnsi="Calibri"/>
        </w:rPr>
        <w:t xml:space="preserve">. </w:t>
      </w:r>
    </w:p>
    <w:p w:rsidR="00620518" w:rsidRDefault="00620518" w:rsidP="00620518">
      <w:pPr>
        <w:pStyle w:val="ListParagraph"/>
        <w:spacing w:after="0"/>
        <w:ind w:left="1446"/>
        <w:rPr>
          <w:rFonts w:ascii="Calibri" w:hAnsi="Calibri"/>
        </w:rPr>
      </w:pPr>
    </w:p>
    <w:p w:rsidR="00000EE4" w:rsidRDefault="00000EE4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Opening sashes </w:t>
      </w:r>
      <w:r w:rsidR="00A32293">
        <w:rPr>
          <w:rFonts w:ascii="Calibri" w:hAnsi="Calibri"/>
        </w:rPr>
        <w:t xml:space="preserve">are </w:t>
      </w:r>
      <w:r>
        <w:rPr>
          <w:rFonts w:ascii="Calibri" w:hAnsi="Calibri"/>
        </w:rPr>
        <w:t>non-facing</w:t>
      </w:r>
      <w:r w:rsidR="00A32293">
        <w:rPr>
          <w:rFonts w:ascii="Calibri" w:hAnsi="Calibri"/>
        </w:rPr>
        <w:t xml:space="preserve">, </w:t>
      </w:r>
      <w:r w:rsidR="00FB4955">
        <w:rPr>
          <w:rFonts w:ascii="Calibri" w:hAnsi="Calibri"/>
        </w:rPr>
        <w:t>fitt</w:t>
      </w:r>
      <w:r w:rsidR="00A32293">
        <w:rPr>
          <w:rFonts w:ascii="Calibri" w:hAnsi="Calibri"/>
        </w:rPr>
        <w:t xml:space="preserve">ing flush </w:t>
      </w:r>
      <w:r w:rsidR="00A05872">
        <w:rPr>
          <w:rFonts w:ascii="Calibri" w:hAnsi="Calibri"/>
        </w:rPr>
        <w:t>with the frame.</w:t>
      </w:r>
    </w:p>
    <w:p w:rsidR="00620518" w:rsidRDefault="00620518" w:rsidP="00620518">
      <w:pPr>
        <w:pStyle w:val="ListParagraph"/>
        <w:spacing w:after="0"/>
        <w:ind w:left="1446"/>
        <w:rPr>
          <w:rFonts w:ascii="Calibri" w:hAnsi="Calibri"/>
        </w:rPr>
      </w:pPr>
    </w:p>
    <w:p w:rsidR="00000EE4" w:rsidRDefault="00000EE4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All windows are externally beaded with square edge rather than sloped beads.</w:t>
      </w:r>
    </w:p>
    <w:p w:rsidR="005E09E4" w:rsidRPr="0092389A" w:rsidRDefault="005E09E4" w:rsidP="005E09E4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 f</w:t>
      </w:r>
      <w:r w:rsidRPr="0092389A">
        <w:rPr>
          <w:rFonts w:ascii="Calibri" w:hAnsi="Calibri"/>
          <w:i/>
          <w:color w:val="339933"/>
          <w:sz w:val="20"/>
        </w:rPr>
        <w:t xml:space="preserve">or single glazing </w:t>
      </w:r>
      <w:r>
        <w:rPr>
          <w:rFonts w:ascii="Calibri" w:hAnsi="Calibri"/>
          <w:i/>
          <w:color w:val="339933"/>
          <w:sz w:val="20"/>
        </w:rPr>
        <w:t xml:space="preserve">there is </w:t>
      </w:r>
      <w:r w:rsidRPr="0092389A">
        <w:rPr>
          <w:rFonts w:ascii="Calibri" w:hAnsi="Calibri"/>
          <w:i/>
          <w:color w:val="339933"/>
          <w:sz w:val="20"/>
        </w:rPr>
        <w:t>an optio</w:t>
      </w:r>
      <w:r>
        <w:rPr>
          <w:rFonts w:ascii="Calibri" w:hAnsi="Calibri"/>
          <w:i/>
          <w:color w:val="339933"/>
          <w:sz w:val="20"/>
        </w:rPr>
        <w:t>n</w:t>
      </w:r>
      <w:r w:rsidRPr="0092389A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 xml:space="preserve">to use </w:t>
      </w:r>
      <w:r w:rsidRPr="0092389A">
        <w:rPr>
          <w:rFonts w:ascii="Calibri" w:hAnsi="Calibri"/>
          <w:i/>
          <w:color w:val="339933"/>
          <w:sz w:val="20"/>
        </w:rPr>
        <w:t>sloping beads</w:t>
      </w:r>
      <w:r>
        <w:rPr>
          <w:rFonts w:ascii="Calibri" w:hAnsi="Calibri"/>
          <w:i/>
          <w:color w:val="339933"/>
          <w:sz w:val="20"/>
        </w:rPr>
        <w:t>)</w:t>
      </w:r>
    </w:p>
    <w:p w:rsidR="00000EE4" w:rsidRDefault="00000EE4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</w:t>
      </w:r>
      <w:r w:rsidR="00FB4955">
        <w:rPr>
          <w:rFonts w:ascii="Calibri" w:hAnsi="Calibri"/>
        </w:rPr>
        <w:t>s have internal box</w:t>
      </w:r>
      <w:r w:rsidR="00FB4955" w:rsidRPr="00FB4955">
        <w:rPr>
          <w:rFonts w:ascii="Calibri" w:hAnsi="Calibri"/>
        </w:rPr>
        <w:t xml:space="preserve"> </w:t>
      </w:r>
      <w:r w:rsidR="00FB4955">
        <w:rPr>
          <w:rFonts w:ascii="Calibri" w:hAnsi="Calibri"/>
        </w:rPr>
        <w:t>stiffeners</w:t>
      </w:r>
      <w:r>
        <w:rPr>
          <w:rFonts w:ascii="Calibri" w:hAnsi="Calibri"/>
        </w:rPr>
        <w:t>.</w:t>
      </w:r>
    </w:p>
    <w:p w:rsidR="00E9216B" w:rsidRPr="00E9216B" w:rsidRDefault="00E9216B" w:rsidP="00E9216B">
      <w:pPr>
        <w:spacing w:after="0"/>
        <w:ind w:left="1086"/>
        <w:rPr>
          <w:rFonts w:ascii="Calibri" w:hAnsi="Calibri"/>
        </w:rPr>
      </w:pPr>
    </w:p>
    <w:p w:rsidR="00000EE4" w:rsidRDefault="00000EE4" w:rsidP="00000EE4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000EE4" w:rsidRDefault="00000EE4" w:rsidP="00000EE4">
      <w:pPr>
        <w:spacing w:after="0"/>
        <w:ind w:left="709"/>
        <w:rPr>
          <w:rFonts w:ascii="Calibri" w:hAnsi="Calibri"/>
          <w:i/>
          <w:color w:val="595959"/>
        </w:rPr>
      </w:pP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sectPr w:rsidR="00000EE4" w:rsidSect="00CA6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85" w:rsidRDefault="00304385" w:rsidP="00A17554">
      <w:pPr>
        <w:spacing w:after="0" w:line="240" w:lineRule="auto"/>
      </w:pPr>
      <w:r>
        <w:separator/>
      </w:r>
    </w:p>
  </w:endnote>
  <w:end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6E34" w:rsidRDefault="00BB7F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31566D">
          <w:instrText xml:space="preserve"> PAGE   \* MERGEFORMAT </w:instrText>
        </w:r>
        <w:r>
          <w:fldChar w:fldCharType="separate"/>
        </w:r>
        <w:r w:rsidR="00F9457A">
          <w:rPr>
            <w:noProof/>
          </w:rPr>
          <w:t>1</w:t>
        </w:r>
        <w:r>
          <w:fldChar w:fldCharType="end"/>
        </w:r>
        <w:r w:rsidR="0031566D">
          <w:t xml:space="preserve"> | </w:t>
        </w:r>
        <w:r w:rsidR="0031566D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85" w:rsidRDefault="00304385" w:rsidP="00A17554">
      <w:pPr>
        <w:spacing w:after="0" w:line="240" w:lineRule="auto"/>
      </w:pPr>
      <w:r>
        <w:separator/>
      </w:r>
    </w:p>
  </w:footnote>
  <w:foot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34" w:rsidRDefault="00F9457A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1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2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6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7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7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1"/>
  </w:num>
  <w:num w:numId="5">
    <w:abstractNumId w:val="26"/>
  </w:num>
  <w:num w:numId="6">
    <w:abstractNumId w:val="15"/>
  </w:num>
  <w:num w:numId="7">
    <w:abstractNumId w:val="10"/>
  </w:num>
  <w:num w:numId="8">
    <w:abstractNumId w:val="7"/>
  </w:num>
  <w:num w:numId="9">
    <w:abstractNumId w:val="27"/>
  </w:num>
  <w:num w:numId="10">
    <w:abstractNumId w:val="11"/>
  </w:num>
  <w:num w:numId="11">
    <w:abstractNumId w:val="24"/>
  </w:num>
  <w:num w:numId="12">
    <w:abstractNumId w:val="1"/>
  </w:num>
  <w:num w:numId="13">
    <w:abstractNumId w:val="12"/>
  </w:num>
  <w:num w:numId="14">
    <w:abstractNumId w:val="18"/>
  </w:num>
  <w:num w:numId="15">
    <w:abstractNumId w:val="16"/>
  </w:num>
  <w:num w:numId="16">
    <w:abstractNumId w:val="20"/>
  </w:num>
  <w:num w:numId="17">
    <w:abstractNumId w:val="19"/>
  </w:num>
  <w:num w:numId="18">
    <w:abstractNumId w:val="13"/>
  </w:num>
  <w:num w:numId="19">
    <w:abstractNumId w:val="23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6"/>
  </w:num>
  <w:num w:numId="25">
    <w:abstractNumId w:val="14"/>
  </w:num>
  <w:num w:numId="26">
    <w:abstractNumId w:val="5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E4"/>
    <w:rsid w:val="00000EE4"/>
    <w:rsid w:val="0000631E"/>
    <w:rsid w:val="00025D74"/>
    <w:rsid w:val="0007055B"/>
    <w:rsid w:val="00134B3F"/>
    <w:rsid w:val="00304385"/>
    <w:rsid w:val="0031566D"/>
    <w:rsid w:val="004356D7"/>
    <w:rsid w:val="005E09E4"/>
    <w:rsid w:val="00620518"/>
    <w:rsid w:val="00630EF0"/>
    <w:rsid w:val="006863CC"/>
    <w:rsid w:val="006865D7"/>
    <w:rsid w:val="0068684B"/>
    <w:rsid w:val="00691C89"/>
    <w:rsid w:val="006C37D8"/>
    <w:rsid w:val="006F6D6D"/>
    <w:rsid w:val="007373D8"/>
    <w:rsid w:val="007A052C"/>
    <w:rsid w:val="00827662"/>
    <w:rsid w:val="008F44CE"/>
    <w:rsid w:val="00A05872"/>
    <w:rsid w:val="00A17554"/>
    <w:rsid w:val="00A32293"/>
    <w:rsid w:val="00A752BE"/>
    <w:rsid w:val="00AE088E"/>
    <w:rsid w:val="00BB7F9D"/>
    <w:rsid w:val="00C17A9C"/>
    <w:rsid w:val="00CF0AEA"/>
    <w:rsid w:val="00D61B7A"/>
    <w:rsid w:val="00E010E5"/>
    <w:rsid w:val="00E9216B"/>
    <w:rsid w:val="00F309E7"/>
    <w:rsid w:val="00F9457A"/>
    <w:rsid w:val="00F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Rochelle  Taylor</cp:lastModifiedBy>
  <cp:revision>2</cp:revision>
  <dcterms:created xsi:type="dcterms:W3CDTF">2013-07-03T07:32:00Z</dcterms:created>
  <dcterms:modified xsi:type="dcterms:W3CDTF">2013-07-03T07:32:00Z</dcterms:modified>
</cp:coreProperties>
</file>